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468" w:beforeLines="150" w:after="468" w:afterLines="150" w:line="360" w:lineRule="auto"/>
        <w:rPr>
          <w:rFonts w:ascii="Times New Roman" w:hAnsi="Times New Roman" w:eastAsia="宋体" w:cs="Times New Roman"/>
          <w:b/>
        </w:rPr>
      </w:pPr>
      <w:r>
        <w:rPr>
          <w:rFonts w:ascii="Times New Roman" w:hAnsi="Times New Roman" w:cs="Times New Roman"/>
          <w:b/>
        </w:rPr>
        <w:t>证券代码：</w:t>
      </w:r>
      <w:r>
        <w:rPr>
          <w:rFonts w:hint="default" w:ascii="Times New Roman" w:hAnsi="Times New Roman" w:eastAsia="Times New Roman" w:cs="Times New Roman"/>
          <w:b/>
        </w:rPr>
        <w:t>001289</w:t>
      </w:r>
      <w:r>
        <w:rPr>
          <w:rFonts w:ascii="Times New Roman" w:hAnsi="Times New Roman" w:cs="Times New Roman"/>
          <w:b/>
        </w:rPr>
        <w:t xml:space="preserve">             证券简称：龙源电力            公告编号：</w:t>
      </w:r>
      <w:r>
        <w:rPr>
          <w:rFonts w:hint="default" w:ascii="Times New Roman" w:hAnsi="Times New Roman" w:eastAsia="Times New Roman" w:cs="Times New Roman"/>
          <w:b/>
        </w:rPr>
        <w:t>2022-0</w:t>
      </w:r>
      <w:r>
        <w:rPr>
          <w:rFonts w:hint="default" w:ascii="Times New Roman" w:hAnsi="Times New Roman" w:eastAsia="宋体" w:cs="Times New Roman"/>
          <w:b/>
        </w:rPr>
        <w:t>65</w:t>
      </w:r>
    </w:p>
    <w:p>
      <w:pPr>
        <w:jc w:val="center"/>
        <w:rPr>
          <w:rFonts w:hint="default" w:ascii="Times New Roman" w:hAnsi="Times New Roman" w:eastAsia="宋体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>龙源电力集团股份有限公司</w:t>
      </w:r>
    </w:p>
    <w:p>
      <w:pPr>
        <w:jc w:val="center"/>
        <w:rPr>
          <w:rFonts w:hint="default" w:ascii="Times New Roman" w:hAnsi="Times New Roman" w:eastAsia="宋体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-94615</wp:posOffset>
                </wp:positionH>
                <wp:positionV relativeFrom="paragraph">
                  <wp:posOffset>502285</wp:posOffset>
                </wp:positionV>
                <wp:extent cx="5429250" cy="676275"/>
                <wp:effectExtent l="4445" t="4445" r="14605" b="5080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29250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ind w:firstLine="422" w:firstLineChars="200"/>
                              <w:rPr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Cs w:val="21"/>
                              </w:rPr>
                              <w:t>本公司及董事会全体成员保证信息披露内容真实、准确、完整，没有虚假记载、误导性陈述或者重大遗漏。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7.45pt;margin-top:39.55pt;height:53.25pt;width:427.5pt;z-index:251660288;v-text-anchor:middle;mso-width-relative:page;mso-height-relative:page;" fillcolor="#FFFFFF" filled="t" stroked="t" coordsize="21600,21600" o:gfxdata="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zWu2d2gAAAAoBAAAPAAAAAAAAAAEAIAAAACIA&#10;AABkcnMvZG93bnJldi54bWxQSwECFAAUAAAACACHTuJAWMRykkACAACMBAAADgAAAAAAAAABACAA&#10;AAApAQAAZHJzL2Uyb0RvYy54bWxQSwUGAAAAAAYABgBZAQAA2w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360" w:lineRule="auto"/>
                        <w:ind w:firstLine="422" w:firstLineChars="200"/>
                        <w:rPr>
                          <w:b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szCs w:val="21"/>
                        </w:rPr>
                        <w:t>本公司及董事会全体成员保证信息披露内容真实、准确、完整，没有虚假记载、误导性陈述或者重大遗漏。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>第五届董事会2022年第9次会议决议公告</w:t>
      </w:r>
    </w:p>
    <w:p>
      <w:pPr>
        <w:spacing w:line="560" w:lineRule="exact"/>
        <w:rPr>
          <w:rFonts w:ascii="Times New Roman" w:hAnsi="Times New Roman" w:eastAsia="仿宋_GB2312" w:cs="Times New Roman"/>
          <w:b/>
          <w:bCs/>
          <w:sz w:val="32"/>
          <w:szCs w:val="32"/>
        </w:rPr>
      </w:pPr>
    </w:p>
    <w:p>
      <w:pPr>
        <w:spacing w:before="156" w:beforeLines="50" w:line="360" w:lineRule="auto"/>
        <w:ind w:firstLine="482" w:firstLineChars="200"/>
        <w:rPr>
          <w:rFonts w:ascii="Times New Roman" w:hAnsi="Times New Roman" w:cs="Times New Roman"/>
          <w:b/>
          <w:bCs/>
          <w:sz w:val="24"/>
        </w:rPr>
      </w:pPr>
    </w:p>
    <w:p>
      <w:pPr>
        <w:rPr>
          <w:rFonts w:ascii="Times New Roman" w:hAnsi="Times New Roman" w:cs="Times New Roman"/>
        </w:rPr>
      </w:pPr>
    </w:p>
    <w:p>
      <w:pPr>
        <w:widowControl/>
        <w:spacing w:before="156" w:beforeLines="50" w:line="360" w:lineRule="auto"/>
        <w:ind w:firstLine="480" w:firstLineChars="200"/>
        <w:rPr>
          <w:rFonts w:ascii="Times New Roman" w:hAnsi="Times New Roman" w:eastAsia="黑体" w:cs="Times New Roman"/>
          <w:bCs/>
          <w:color w:val="000000"/>
          <w:kern w:val="0"/>
          <w:sz w:val="24"/>
        </w:rPr>
      </w:pPr>
      <w:r>
        <w:rPr>
          <w:rFonts w:hint="default" w:ascii="Times New Roman" w:hAnsi="Times New Roman" w:eastAsia="黑体" w:cs="Times New Roman"/>
          <w:bCs/>
          <w:color w:val="000000"/>
          <w:kern w:val="0"/>
          <w:sz w:val="24"/>
        </w:rPr>
        <w:t>一、董事会会议召开情况</w:t>
      </w:r>
    </w:p>
    <w:p>
      <w:pPr>
        <w:widowControl/>
        <w:spacing w:before="156" w:beforeLines="50" w:line="360" w:lineRule="auto"/>
        <w:ind w:firstLine="480" w:firstLineChars="200"/>
        <w:rPr>
          <w:rFonts w:ascii="Times New Roman" w:hAnsi="Times New Roman" w:cs="Times New Roman"/>
          <w:bCs/>
          <w:color w:val="000000"/>
          <w:kern w:val="0"/>
          <w:sz w:val="24"/>
        </w:rPr>
      </w:pPr>
      <w:r>
        <w:rPr>
          <w:rFonts w:hint="default" w:ascii="Times New Roman" w:hAnsi="Times New Roman" w:cs="Times New Roman"/>
          <w:bCs/>
          <w:color w:val="000000"/>
          <w:kern w:val="0"/>
          <w:sz w:val="24"/>
        </w:rPr>
        <w:t>龙源电力集团股份有限公司（以下简称“公司”）第五届董事会2022年第9次会议（以下简称“本次会议”）</w:t>
      </w:r>
      <w:r>
        <w:rPr>
          <w:rFonts w:ascii="Times New Roman" w:hAnsi="Times New Roman" w:eastAsia="宋体" w:cs="Times New Roman"/>
          <w:bCs/>
          <w:color w:val="000000"/>
          <w:kern w:val="0"/>
          <w:sz w:val="24"/>
        </w:rPr>
        <w:t>已于2022年1</w:t>
      </w:r>
      <w:r>
        <w:rPr>
          <w:rFonts w:hint="eastAsia" w:ascii="Times New Roman" w:hAnsi="Times New Roman" w:eastAsia="宋体" w:cs="Times New Roman"/>
          <w:bCs/>
          <w:color w:val="000000"/>
          <w:kern w:val="0"/>
          <w:sz w:val="24"/>
          <w:lang w:val="en-US" w:eastAsia="zh-CN"/>
        </w:rPr>
        <w:t>2</w:t>
      </w:r>
      <w:r>
        <w:rPr>
          <w:rFonts w:ascii="Times New Roman" w:hAnsi="Times New Roman" w:eastAsia="宋体" w:cs="Times New Roman"/>
          <w:bCs/>
          <w:color w:val="000000"/>
          <w:kern w:val="0"/>
          <w:sz w:val="24"/>
        </w:rPr>
        <w:t>月</w:t>
      </w:r>
      <w:r>
        <w:rPr>
          <w:rFonts w:hint="eastAsia" w:ascii="Times New Roman" w:hAnsi="Times New Roman" w:eastAsia="宋体" w:cs="Times New Roman"/>
          <w:bCs/>
          <w:color w:val="000000"/>
          <w:kern w:val="0"/>
          <w:sz w:val="24"/>
          <w:lang w:val="en-US" w:eastAsia="zh-CN"/>
        </w:rPr>
        <w:t>2</w:t>
      </w:r>
      <w:r>
        <w:rPr>
          <w:rFonts w:ascii="Times New Roman" w:hAnsi="Times New Roman" w:eastAsia="宋体" w:cs="Times New Roman"/>
          <w:bCs/>
          <w:color w:val="000000"/>
          <w:kern w:val="0"/>
          <w:sz w:val="24"/>
        </w:rPr>
        <w:t>日以</w:t>
      </w:r>
      <w:r>
        <w:rPr>
          <w:rFonts w:ascii="Times New Roman" w:hAnsi="Times New Roman" w:eastAsia="宋体" w:cs="Times New Roman"/>
          <w:sz w:val="24"/>
        </w:rPr>
        <w:t>专人送达或通讯方式</w:t>
      </w:r>
      <w:r>
        <w:rPr>
          <w:rFonts w:ascii="Times New Roman" w:hAnsi="Times New Roman" w:eastAsia="宋体" w:cs="Times New Roman"/>
          <w:bCs/>
          <w:color w:val="000000"/>
          <w:kern w:val="0"/>
          <w:sz w:val="24"/>
        </w:rPr>
        <w:t>通知全体董事。本次会议</w:t>
      </w:r>
      <w:r>
        <w:rPr>
          <w:rFonts w:ascii="Times New Roman" w:hAnsi="Times New Roman" w:cs="Times New Roman"/>
          <w:bCs/>
          <w:color w:val="000000"/>
          <w:kern w:val="0"/>
          <w:sz w:val="24"/>
        </w:rPr>
        <w:t>于2022年</w:t>
      </w:r>
      <w:r>
        <w:rPr>
          <w:rFonts w:hint="eastAsia" w:ascii="Times New Roman" w:hAnsi="Times New Roman" w:cs="Times New Roman"/>
          <w:bCs/>
          <w:color w:val="000000"/>
          <w:kern w:val="0"/>
          <w:sz w:val="24"/>
        </w:rPr>
        <w:t>12</w:t>
      </w:r>
      <w:r>
        <w:rPr>
          <w:rFonts w:ascii="Times New Roman" w:hAnsi="Times New Roman" w:cs="Times New Roman"/>
          <w:bCs/>
          <w:color w:val="000000"/>
          <w:kern w:val="0"/>
          <w:sz w:val="24"/>
        </w:rPr>
        <w:t>月</w:t>
      </w:r>
      <w:r>
        <w:rPr>
          <w:rFonts w:hint="eastAsia" w:ascii="Times New Roman" w:hAnsi="Times New Roman" w:cs="Times New Roman"/>
          <w:bCs/>
          <w:color w:val="000000"/>
          <w:kern w:val="0"/>
          <w:sz w:val="24"/>
          <w:lang w:val="en-US" w:eastAsia="zh-CN"/>
        </w:rPr>
        <w:t>8</w:t>
      </w:r>
      <w:r>
        <w:rPr>
          <w:rFonts w:ascii="Times New Roman" w:hAnsi="Times New Roman" w:cs="Times New Roman"/>
          <w:bCs/>
          <w:color w:val="000000"/>
          <w:kern w:val="0"/>
          <w:sz w:val="24"/>
        </w:rPr>
        <w:t>日</w:t>
      </w:r>
      <w:r>
        <w:rPr>
          <w:rFonts w:ascii="Times New Roman" w:hAnsi="Times New Roman" w:eastAsia="宋体" w:cs="Times New Roman"/>
          <w:bCs/>
          <w:color w:val="000000"/>
          <w:kern w:val="0"/>
          <w:sz w:val="24"/>
        </w:rPr>
        <w:t>以</w:t>
      </w:r>
      <w:r>
        <w:rPr>
          <w:rFonts w:hint="eastAsia" w:ascii="Times New Roman" w:hAnsi="Times New Roman" w:eastAsia="宋体" w:cs="Times New Roman"/>
          <w:bCs/>
          <w:color w:val="000000"/>
          <w:kern w:val="0"/>
          <w:sz w:val="24"/>
        </w:rPr>
        <w:t>通讯会议</w:t>
      </w:r>
      <w:r>
        <w:rPr>
          <w:rFonts w:ascii="Times New Roman" w:hAnsi="Times New Roman" w:eastAsia="宋体" w:cs="Times New Roman"/>
          <w:bCs/>
          <w:color w:val="000000"/>
          <w:kern w:val="0"/>
          <w:sz w:val="24"/>
        </w:rPr>
        <w:t>的形式召开</w:t>
      </w:r>
      <w:r>
        <w:rPr>
          <w:rFonts w:hint="default" w:ascii="Times New Roman" w:hAnsi="Times New Roman" w:cs="Times New Roman"/>
          <w:bCs/>
          <w:color w:val="000000"/>
          <w:kern w:val="0"/>
          <w:sz w:val="24"/>
        </w:rPr>
        <w:t>，</w:t>
      </w:r>
      <w:r>
        <w:rPr>
          <w:rFonts w:hint="default" w:ascii="Times New Roman" w:hAnsi="Times New Roman" w:eastAsia="宋体" w:cs="Times New Roman"/>
          <w:bCs/>
          <w:color w:val="000000"/>
          <w:kern w:val="0"/>
          <w:sz w:val="24"/>
          <w:lang w:val="en-US" w:eastAsia="zh-CN"/>
        </w:rPr>
        <w:t>由公司执行董事</w:t>
      </w:r>
      <w:r>
        <w:rPr>
          <w:rFonts w:hint="eastAsia" w:ascii="Times New Roman" w:hAnsi="Times New Roman" w:eastAsia="宋体" w:cs="Times New Roman"/>
          <w:bCs/>
          <w:color w:val="000000"/>
          <w:kern w:val="0"/>
          <w:sz w:val="24"/>
          <w:lang w:val="en-US" w:eastAsia="zh-CN"/>
        </w:rPr>
        <w:t>唐坚先生</w:t>
      </w:r>
      <w:r>
        <w:rPr>
          <w:rFonts w:hint="default" w:ascii="Times New Roman" w:hAnsi="Times New Roman" w:eastAsia="宋体" w:cs="Times New Roman"/>
          <w:bCs/>
          <w:color w:val="000000"/>
          <w:kern w:val="0"/>
          <w:sz w:val="24"/>
          <w:lang w:val="en-US" w:eastAsia="zh-CN"/>
        </w:rPr>
        <w:t>主持</w:t>
      </w:r>
      <w:r>
        <w:rPr>
          <w:rFonts w:hint="eastAsia" w:ascii="Times New Roman" w:hAnsi="Times New Roman" w:cs="Times New Roman"/>
          <w:bCs/>
          <w:color w:val="000000"/>
          <w:kern w:val="0"/>
          <w:sz w:val="24"/>
          <w:lang w:val="en-US" w:eastAsia="zh-CN"/>
        </w:rPr>
        <w:t>，</w:t>
      </w:r>
      <w:r>
        <w:rPr>
          <w:rFonts w:hint="default" w:ascii="Times New Roman" w:hAnsi="Times New Roman" w:cs="Times New Roman"/>
          <w:bCs/>
          <w:color w:val="000000"/>
          <w:kern w:val="0"/>
          <w:sz w:val="24"/>
        </w:rPr>
        <w:t>应出席董</w:t>
      </w:r>
      <w:r>
        <w:rPr>
          <w:rFonts w:hint="default" w:ascii="Times New Roman" w:hAnsi="Times New Roman" w:cs="Times New Roman"/>
          <w:bCs/>
          <w:kern w:val="0"/>
          <w:sz w:val="24"/>
        </w:rPr>
        <w:t>事8人，实际出席8人。</w:t>
      </w:r>
      <w:r>
        <w:rPr>
          <w:rFonts w:hint="default" w:ascii="Times New Roman" w:hAnsi="Times New Roman" w:cs="Times New Roman"/>
          <w:bCs/>
          <w:color w:val="000000"/>
          <w:kern w:val="0"/>
          <w:sz w:val="24"/>
        </w:rPr>
        <w:t>本次会议的召开符合《中华人民共和国公司法》《龙源电力集团股份有限公司章程》《龙源电力集团股份有限公司董事会议事规则》等规定。</w:t>
      </w:r>
    </w:p>
    <w:p>
      <w:pPr>
        <w:widowControl/>
        <w:spacing w:before="156" w:beforeLines="50" w:line="360" w:lineRule="auto"/>
        <w:ind w:firstLine="480" w:firstLineChars="200"/>
        <w:rPr>
          <w:rFonts w:ascii="Times New Roman" w:hAnsi="Times New Roman" w:eastAsia="黑体" w:cs="Times New Roman"/>
          <w:bCs/>
          <w:color w:val="000000"/>
          <w:kern w:val="0"/>
          <w:sz w:val="24"/>
        </w:rPr>
      </w:pPr>
      <w:r>
        <w:rPr>
          <w:rFonts w:hint="default" w:ascii="Times New Roman" w:hAnsi="Times New Roman" w:eastAsia="黑体" w:cs="Times New Roman"/>
          <w:bCs/>
          <w:color w:val="000000"/>
          <w:kern w:val="0"/>
          <w:sz w:val="24"/>
        </w:rPr>
        <w:t>二、董事会会议审议情况</w:t>
      </w:r>
      <w:bookmarkStart w:id="3" w:name="_GoBack"/>
      <w:bookmarkEnd w:id="3"/>
    </w:p>
    <w:p>
      <w:pPr>
        <w:widowControl/>
        <w:spacing w:before="156" w:beforeLines="50" w:line="360" w:lineRule="auto"/>
        <w:ind w:firstLine="480" w:firstLineChars="200"/>
        <w:rPr>
          <w:rFonts w:ascii="Times New Roman" w:hAnsi="Times New Roman" w:cs="Times New Roman"/>
          <w:bCs/>
          <w:color w:val="000000"/>
          <w:kern w:val="0"/>
          <w:sz w:val="24"/>
        </w:rPr>
      </w:pPr>
      <w:r>
        <w:rPr>
          <w:rFonts w:hint="default" w:ascii="Times New Roman" w:hAnsi="Times New Roman" w:cs="Times New Roman"/>
          <w:bCs/>
          <w:color w:val="000000"/>
          <w:kern w:val="0"/>
          <w:sz w:val="24"/>
        </w:rPr>
        <w:t>本次会议经审议，形成决议如下：</w:t>
      </w:r>
    </w:p>
    <w:p>
      <w:pPr>
        <w:widowControl/>
        <w:spacing w:before="156" w:beforeLines="50" w:line="360" w:lineRule="auto"/>
        <w:ind w:firstLine="480" w:firstLineChars="200"/>
        <w:rPr>
          <w:rFonts w:ascii="Times New Roman" w:hAnsi="Times New Roman" w:cs="Times New Roman"/>
          <w:bCs/>
          <w:color w:val="000000"/>
          <w:kern w:val="0"/>
          <w:sz w:val="24"/>
        </w:rPr>
      </w:pPr>
      <w:r>
        <w:rPr>
          <w:rFonts w:hint="default" w:ascii="Times New Roman" w:hAnsi="Times New Roman" w:cs="Times New Roman"/>
          <w:bCs/>
          <w:color w:val="000000"/>
          <w:kern w:val="0"/>
          <w:sz w:val="24"/>
        </w:rPr>
        <w:t>审议</w:t>
      </w:r>
      <w:r>
        <w:rPr>
          <w:rFonts w:ascii="Times New Roman" w:hAnsi="Times New Roman" w:cs="Times New Roman"/>
          <w:bCs/>
          <w:color w:val="000000"/>
          <w:kern w:val="0"/>
          <w:sz w:val="24"/>
        </w:rPr>
        <w:t>通过《</w:t>
      </w:r>
      <w:r>
        <w:rPr>
          <w:rFonts w:hint="default" w:ascii="Times New Roman" w:hAnsi="Times New Roman" w:cs="Times New Roman"/>
          <w:bCs/>
          <w:color w:val="000000"/>
          <w:kern w:val="0"/>
          <w:sz w:val="24"/>
        </w:rPr>
        <w:t>关于龙源电力集团股份有限公司推举董事长的议案</w:t>
      </w:r>
      <w:r>
        <w:rPr>
          <w:rFonts w:ascii="Times New Roman" w:hAnsi="Times New Roman" w:cs="Times New Roman"/>
          <w:bCs/>
          <w:color w:val="000000"/>
          <w:kern w:val="0"/>
          <w:sz w:val="24"/>
        </w:rPr>
        <w:t>》</w:t>
      </w:r>
      <w:r>
        <w:rPr>
          <w:rFonts w:hint="default" w:ascii="Times New Roman" w:hAnsi="Times New Roman" w:cs="Times New Roman"/>
          <w:bCs/>
          <w:color w:val="000000"/>
          <w:kern w:val="0"/>
          <w:sz w:val="24"/>
        </w:rPr>
        <w:t>。</w:t>
      </w:r>
    </w:p>
    <w:p>
      <w:pPr>
        <w:widowControl/>
        <w:spacing w:before="156" w:beforeLines="50" w:line="360" w:lineRule="auto"/>
        <w:ind w:firstLine="480" w:firstLineChars="200"/>
        <w:rPr>
          <w:rFonts w:hint="default" w:ascii="Times New Roman" w:hAnsi="Times New Roman" w:cs="Times New Roman"/>
          <w:bCs/>
          <w:color w:val="000000"/>
          <w:kern w:val="0"/>
          <w:sz w:val="24"/>
        </w:rPr>
      </w:pPr>
      <w:bookmarkStart w:id="0" w:name="_Hlk120475480"/>
      <w:r>
        <w:rPr>
          <w:rFonts w:hint="default" w:ascii="Times New Roman" w:hAnsi="Times New Roman" w:cs="Times New Roman"/>
          <w:bCs/>
          <w:color w:val="000000"/>
          <w:kern w:val="0"/>
          <w:sz w:val="24"/>
        </w:rPr>
        <w:t>董事会同意推举</w:t>
      </w:r>
      <w:bookmarkEnd w:id="0"/>
      <w:bookmarkStart w:id="1" w:name="_Hlk120475467"/>
      <w:r>
        <w:rPr>
          <w:rFonts w:hint="default" w:ascii="Times New Roman" w:hAnsi="Times New Roman" w:cs="Times New Roman"/>
          <w:bCs/>
          <w:color w:val="000000"/>
          <w:kern w:val="0"/>
          <w:sz w:val="24"/>
        </w:rPr>
        <w:t>执行董事</w:t>
      </w:r>
      <w:bookmarkEnd w:id="1"/>
      <w:r>
        <w:rPr>
          <w:rFonts w:hint="default" w:ascii="Times New Roman" w:hAnsi="Times New Roman" w:cs="Times New Roman"/>
          <w:bCs/>
          <w:color w:val="000000"/>
          <w:kern w:val="0"/>
          <w:sz w:val="24"/>
        </w:rPr>
        <w:t>唐坚先生担任公司董事长，</w:t>
      </w:r>
      <w:bookmarkStart w:id="2" w:name="_Hlk120476127"/>
      <w:r>
        <w:rPr>
          <w:rFonts w:hint="default" w:ascii="Times New Roman" w:hAnsi="Times New Roman" w:cs="Times New Roman"/>
          <w:bCs/>
          <w:color w:val="000000"/>
          <w:kern w:val="0"/>
          <w:sz w:val="24"/>
        </w:rPr>
        <w:t>并担任战略委员会主任委员职务，</w:t>
      </w:r>
      <w:bookmarkEnd w:id="2"/>
      <w:r>
        <w:rPr>
          <w:rFonts w:hint="default" w:ascii="Times New Roman" w:hAnsi="Times New Roman" w:cs="Times New Roman"/>
          <w:bCs/>
          <w:color w:val="000000"/>
          <w:kern w:val="0"/>
          <w:sz w:val="24"/>
        </w:rPr>
        <w:t>任期自本次会议审议通过之日起，至第五届董事会任期届满时止。</w:t>
      </w:r>
    </w:p>
    <w:p>
      <w:pPr>
        <w:widowControl/>
        <w:spacing w:before="156" w:beforeLines="50" w:line="360" w:lineRule="auto"/>
        <w:ind w:firstLine="480" w:firstLineChars="200"/>
        <w:rPr>
          <w:rFonts w:ascii="Times New Roman" w:hAnsi="Times New Roman" w:cs="Times New Roman"/>
          <w:bCs/>
          <w:color w:val="000000"/>
          <w:kern w:val="0"/>
          <w:sz w:val="24"/>
        </w:rPr>
      </w:pPr>
      <w:r>
        <w:rPr>
          <w:rFonts w:ascii="Times New Roman" w:hAnsi="Times New Roman" w:cs="Times New Roman"/>
          <w:bCs/>
          <w:color w:val="000000"/>
          <w:kern w:val="0"/>
          <w:sz w:val="24"/>
        </w:rPr>
        <w:t>具体内容</w:t>
      </w:r>
      <w:r>
        <w:rPr>
          <w:rFonts w:hint="eastAsia" w:ascii="Times New Roman" w:hAnsi="Times New Roman" w:cs="Times New Roman"/>
          <w:bCs/>
          <w:color w:val="000000"/>
          <w:kern w:val="0"/>
          <w:sz w:val="24"/>
        </w:rPr>
        <w:t>详见公司同日</w:t>
      </w:r>
      <w:r>
        <w:rPr>
          <w:rFonts w:ascii="Times New Roman" w:hAnsi="Times New Roman" w:cs="Times New Roman"/>
          <w:bCs/>
          <w:color w:val="000000"/>
          <w:kern w:val="0"/>
          <w:sz w:val="24"/>
        </w:rPr>
        <w:t>在巨潮资讯网</w:t>
      </w:r>
      <w:r>
        <w:rPr>
          <w:rFonts w:ascii="Times New Roman" w:hAnsi="Times New Roman" w:eastAsia="宋体" w:cs="Times New Roman"/>
          <w:sz w:val="24"/>
        </w:rPr>
        <w:t>（www.cninfo.com.cn）</w:t>
      </w:r>
      <w:r>
        <w:rPr>
          <w:rFonts w:hint="eastAsia" w:ascii="Times New Roman" w:hAnsi="Times New Roman" w:eastAsia="宋体" w:cs="Times New Roman"/>
          <w:sz w:val="24"/>
        </w:rPr>
        <w:t>和</w:t>
      </w:r>
      <w:r>
        <w:rPr>
          <w:rFonts w:ascii="Times New Roman" w:hAnsi="Times New Roman" w:cs="Times New Roman"/>
          <w:bCs/>
          <w:color w:val="000000"/>
          <w:kern w:val="0"/>
          <w:sz w:val="24"/>
        </w:rPr>
        <w:t>《中国证券报》《证券时报》《证券日报》《上海证券报》</w:t>
      </w:r>
      <w:r>
        <w:rPr>
          <w:rFonts w:hint="eastAsia" w:ascii="Times New Roman" w:hAnsi="Times New Roman" w:cs="Times New Roman"/>
          <w:bCs/>
          <w:color w:val="000000"/>
          <w:kern w:val="0"/>
          <w:sz w:val="24"/>
        </w:rPr>
        <w:t>刊登的《关于总经理辞任暨选举董事长的公告》</w:t>
      </w:r>
      <w:r>
        <w:rPr>
          <w:rFonts w:ascii="Times New Roman" w:hAnsi="Times New Roman" w:cs="Times New Roman"/>
          <w:bCs/>
          <w:color w:val="000000"/>
          <w:kern w:val="0"/>
          <w:sz w:val="24"/>
        </w:rPr>
        <w:t>。</w:t>
      </w:r>
    </w:p>
    <w:p>
      <w:pPr>
        <w:widowControl/>
        <w:spacing w:before="156" w:beforeLines="50" w:line="360" w:lineRule="auto"/>
        <w:ind w:firstLine="480" w:firstLineChars="200"/>
        <w:rPr>
          <w:rFonts w:ascii="Times New Roman" w:hAnsi="Times New Roman" w:cs="Times New Roman"/>
          <w:bCs/>
          <w:color w:val="000000"/>
          <w:kern w:val="0"/>
          <w:sz w:val="24"/>
        </w:rPr>
      </w:pPr>
      <w:r>
        <w:rPr>
          <w:rFonts w:ascii="Times New Roman" w:hAnsi="Times New Roman" w:cs="Times New Roman"/>
          <w:bCs/>
          <w:color w:val="000000"/>
          <w:kern w:val="0"/>
          <w:sz w:val="24"/>
        </w:rPr>
        <w:t>表决结果：</w:t>
      </w:r>
      <w:r>
        <w:rPr>
          <w:rFonts w:hint="default" w:ascii="Times New Roman" w:hAnsi="Times New Roman" w:cs="Times New Roman"/>
          <w:bCs/>
          <w:color w:val="000000"/>
          <w:kern w:val="0"/>
          <w:sz w:val="24"/>
        </w:rPr>
        <w:t>8</w:t>
      </w:r>
      <w:r>
        <w:rPr>
          <w:rFonts w:ascii="Times New Roman" w:hAnsi="Times New Roman" w:cs="Times New Roman"/>
          <w:bCs/>
          <w:color w:val="000000"/>
          <w:kern w:val="0"/>
          <w:sz w:val="24"/>
        </w:rPr>
        <w:t>票同意、0票反对、0票弃权。</w:t>
      </w:r>
    </w:p>
    <w:p>
      <w:pPr>
        <w:widowControl/>
        <w:spacing w:before="156" w:beforeLines="50" w:line="360" w:lineRule="auto"/>
        <w:ind w:firstLine="480" w:firstLineChars="200"/>
        <w:rPr>
          <w:rFonts w:ascii="Times New Roman" w:hAnsi="Times New Roman" w:eastAsia="黑体" w:cs="Times New Roman"/>
          <w:bCs/>
          <w:color w:val="000000"/>
          <w:kern w:val="0"/>
          <w:sz w:val="24"/>
        </w:rPr>
      </w:pPr>
      <w:r>
        <w:rPr>
          <w:rFonts w:hint="default" w:ascii="Times New Roman" w:hAnsi="Times New Roman" w:eastAsia="黑体" w:cs="Times New Roman"/>
          <w:bCs/>
          <w:color w:val="000000"/>
          <w:kern w:val="0"/>
          <w:sz w:val="24"/>
        </w:rPr>
        <w:t>三、备查文件</w:t>
      </w:r>
    </w:p>
    <w:p>
      <w:pPr>
        <w:widowControl/>
        <w:spacing w:before="156" w:beforeLines="50" w:line="360" w:lineRule="auto"/>
        <w:ind w:firstLine="480" w:firstLineChars="200"/>
        <w:rPr>
          <w:rFonts w:ascii="Times New Roman" w:hAnsi="Times New Roman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第五届董事会2022年第9次会议决议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。</w:t>
      </w:r>
    </w:p>
    <w:p>
      <w:pPr>
        <w:widowControl/>
        <w:spacing w:before="156" w:beforeLines="50" w:line="360" w:lineRule="auto"/>
        <w:ind w:firstLine="480" w:firstLineChars="200"/>
        <w:rPr>
          <w:rFonts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>特此公告。</w:t>
      </w:r>
    </w:p>
    <w:p>
      <w:pPr>
        <w:spacing w:line="360" w:lineRule="auto"/>
        <w:ind w:firstLine="4077" w:firstLineChars="1692"/>
        <w:jc w:val="right"/>
        <w:outlineLvl w:val="0"/>
        <w:rPr>
          <w:rFonts w:ascii="Times New Roman" w:hAnsi="Times New Roman" w:cs="Times New Roman"/>
          <w:b/>
          <w:bCs/>
          <w:sz w:val="24"/>
        </w:rPr>
      </w:pPr>
    </w:p>
    <w:p>
      <w:pPr>
        <w:spacing w:line="360" w:lineRule="auto"/>
        <w:ind w:firstLine="4077" w:firstLineChars="1692"/>
        <w:jc w:val="right"/>
        <w:outlineLvl w:val="0"/>
        <w:rPr>
          <w:rFonts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  <w:sz w:val="24"/>
        </w:rPr>
        <w:t>龙源电力集团股份有限公司</w:t>
      </w:r>
    </w:p>
    <w:p>
      <w:pPr>
        <w:wordWrap w:val="0"/>
        <w:spacing w:line="360" w:lineRule="auto"/>
        <w:ind w:firstLine="4077" w:firstLineChars="1692"/>
        <w:jc w:val="right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4"/>
        </w:rPr>
        <w:t xml:space="preserve">董  事  会        </w:t>
      </w:r>
    </w:p>
    <w:p>
      <w:pPr>
        <w:spacing w:before="50" w:after="50" w:line="360" w:lineRule="auto"/>
        <w:ind w:right="482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</w:rPr>
        <w:t>2022年</w:t>
      </w:r>
      <w:r>
        <w:rPr>
          <w:rFonts w:hint="default" w:ascii="Times New Roman" w:hAnsi="Times New Roman" w:cs="Times New Roman"/>
          <w:b/>
          <w:bCs/>
          <w:sz w:val="24"/>
        </w:rPr>
        <w:t>1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2</w:t>
      </w:r>
      <w:r>
        <w:rPr>
          <w:rFonts w:ascii="Times New Roman" w:hAnsi="Times New Roman" w:cs="Times New Roman"/>
          <w:b/>
          <w:bCs/>
          <w:sz w:val="24"/>
        </w:rPr>
        <w:t>月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8</w:t>
      </w:r>
      <w:r>
        <w:rPr>
          <w:rFonts w:ascii="Times New Roman" w:hAnsi="Times New Roman" w:cs="Times New Roman"/>
          <w:b/>
          <w:bCs/>
          <w:sz w:val="24"/>
        </w:rPr>
        <w:t>日</w:t>
      </w:r>
      <w:r>
        <w:rPr>
          <w:rFonts w:hint="default" w:ascii="Times New Roman" w:hAnsi="Times New Roman" w:cs="Times New Roman"/>
        </w:rPr>
        <w:t xml:space="preserve">       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A926FC2"/>
    <w:multiLevelType w:val="singleLevel"/>
    <w:tmpl w:val="3A926FC2"/>
    <w:lvl w:ilvl="0" w:tentative="0">
      <w:start w:val="1"/>
      <w:numFmt w:val="decimal"/>
      <w:pStyle w:val="2"/>
      <w:lvlText w:val="%1."/>
      <w:lvlJc w:val="left"/>
      <w:pPr>
        <w:tabs>
          <w:tab w:val="left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319101A"/>
    <w:rsid w:val="000C396C"/>
    <w:rsid w:val="000F3D46"/>
    <w:rsid w:val="0011617C"/>
    <w:rsid w:val="001E331D"/>
    <w:rsid w:val="00226E20"/>
    <w:rsid w:val="00280828"/>
    <w:rsid w:val="002A19B5"/>
    <w:rsid w:val="003321B7"/>
    <w:rsid w:val="00396407"/>
    <w:rsid w:val="003B3B25"/>
    <w:rsid w:val="00421D06"/>
    <w:rsid w:val="004803CD"/>
    <w:rsid w:val="004B2022"/>
    <w:rsid w:val="004C0AED"/>
    <w:rsid w:val="00511948"/>
    <w:rsid w:val="005A597E"/>
    <w:rsid w:val="005F3BDB"/>
    <w:rsid w:val="00654B32"/>
    <w:rsid w:val="006C07E8"/>
    <w:rsid w:val="006D50C7"/>
    <w:rsid w:val="007157EA"/>
    <w:rsid w:val="00794F73"/>
    <w:rsid w:val="007C2631"/>
    <w:rsid w:val="007F2F2E"/>
    <w:rsid w:val="008100EC"/>
    <w:rsid w:val="00850C45"/>
    <w:rsid w:val="00892C12"/>
    <w:rsid w:val="008A36DB"/>
    <w:rsid w:val="008D4F26"/>
    <w:rsid w:val="008E60BB"/>
    <w:rsid w:val="008F4F35"/>
    <w:rsid w:val="00910CC8"/>
    <w:rsid w:val="00912A2B"/>
    <w:rsid w:val="009174A8"/>
    <w:rsid w:val="00983806"/>
    <w:rsid w:val="00A30D79"/>
    <w:rsid w:val="00A47314"/>
    <w:rsid w:val="00B55932"/>
    <w:rsid w:val="00B60D42"/>
    <w:rsid w:val="00B712EF"/>
    <w:rsid w:val="00B97FFC"/>
    <w:rsid w:val="00BC622E"/>
    <w:rsid w:val="00BD59C1"/>
    <w:rsid w:val="00C07728"/>
    <w:rsid w:val="00C77CB6"/>
    <w:rsid w:val="00CA1644"/>
    <w:rsid w:val="00D14F8F"/>
    <w:rsid w:val="00D17299"/>
    <w:rsid w:val="00DB4FB4"/>
    <w:rsid w:val="00DD3152"/>
    <w:rsid w:val="00DF1231"/>
    <w:rsid w:val="00E22071"/>
    <w:rsid w:val="00E511AE"/>
    <w:rsid w:val="00E66B98"/>
    <w:rsid w:val="00E82A96"/>
    <w:rsid w:val="00E82C48"/>
    <w:rsid w:val="00ED4D79"/>
    <w:rsid w:val="00F32EF3"/>
    <w:rsid w:val="00F73734"/>
    <w:rsid w:val="00FB13FF"/>
    <w:rsid w:val="03B82897"/>
    <w:rsid w:val="048367FC"/>
    <w:rsid w:val="06A61DFC"/>
    <w:rsid w:val="0BBA7202"/>
    <w:rsid w:val="0D8C3920"/>
    <w:rsid w:val="0F7A3CB9"/>
    <w:rsid w:val="13C015D7"/>
    <w:rsid w:val="14CF23CE"/>
    <w:rsid w:val="1C072A1F"/>
    <w:rsid w:val="21144EE8"/>
    <w:rsid w:val="21DC66F3"/>
    <w:rsid w:val="23CF3EA3"/>
    <w:rsid w:val="24EA0330"/>
    <w:rsid w:val="250F7ADC"/>
    <w:rsid w:val="25B0564A"/>
    <w:rsid w:val="287C582A"/>
    <w:rsid w:val="28AF5412"/>
    <w:rsid w:val="2AEB62E4"/>
    <w:rsid w:val="2DBE17CE"/>
    <w:rsid w:val="2EF0541E"/>
    <w:rsid w:val="2FF52454"/>
    <w:rsid w:val="311E6368"/>
    <w:rsid w:val="346E7194"/>
    <w:rsid w:val="35B4061A"/>
    <w:rsid w:val="37EE75C3"/>
    <w:rsid w:val="3BC85CF2"/>
    <w:rsid w:val="3DBF7F8E"/>
    <w:rsid w:val="3EA86284"/>
    <w:rsid w:val="400024CF"/>
    <w:rsid w:val="403B7876"/>
    <w:rsid w:val="408C4830"/>
    <w:rsid w:val="422E697D"/>
    <w:rsid w:val="428570FD"/>
    <w:rsid w:val="42D3252F"/>
    <w:rsid w:val="430B24D2"/>
    <w:rsid w:val="45F64115"/>
    <w:rsid w:val="4ABC5D28"/>
    <w:rsid w:val="4D8324A3"/>
    <w:rsid w:val="4DA76943"/>
    <w:rsid w:val="4DCE77EC"/>
    <w:rsid w:val="50186C2F"/>
    <w:rsid w:val="50214715"/>
    <w:rsid w:val="52C43E01"/>
    <w:rsid w:val="52C83D41"/>
    <w:rsid w:val="5319101A"/>
    <w:rsid w:val="56B36B93"/>
    <w:rsid w:val="57853F0F"/>
    <w:rsid w:val="595D7DAE"/>
    <w:rsid w:val="5AB102EE"/>
    <w:rsid w:val="5B35456D"/>
    <w:rsid w:val="5DA50AD8"/>
    <w:rsid w:val="67457B79"/>
    <w:rsid w:val="67770D7E"/>
    <w:rsid w:val="6A8E105C"/>
    <w:rsid w:val="6CB84AE2"/>
    <w:rsid w:val="733F62C3"/>
    <w:rsid w:val="747B45C2"/>
    <w:rsid w:val="781C1089"/>
    <w:rsid w:val="7A6D7491"/>
    <w:rsid w:val="7BD36ECA"/>
    <w:rsid w:val="7F2D3F13"/>
    <w:rsid w:val="7FFF2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